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1E" w:rsidRPr="00B8791E" w:rsidRDefault="00B8791E" w:rsidP="00B8791E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r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 xml:space="preserve">                         </w:t>
      </w:r>
      <w:bookmarkStart w:id="0" w:name="_GoBack"/>
      <w:bookmarkEnd w:id="0"/>
      <w:r w:rsidRPr="00B8791E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Программа "Земский учитель"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В соответствии с перечнем поручений Президента Российской Федерации Федеральному Собранию Российской Федерации от 27.02.2019 №Пр-294, перечня поручений Председателя Правительства Российской Федерации от 28.02.2019 № ДМ-П13-1511 с 2020 года в Карачаево-Черкесской Республике </w:t>
      </w: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u w:val="single"/>
          <w:lang w:eastAsia="ru-RU"/>
        </w:rPr>
        <w:t>реализуется программа «Земский учитель».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Право получения единовременной компенсационной выплаты учителю по программе «Земский учитель» (получение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человек) предоставляется учителям по результатам конкурсного отбора претендентов.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4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 от 17.05.2024 № 374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«Об утверждении списка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2024 году» 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5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образования и науки КЧР от 15.01.2024 № 11 «О внесении изменений в приказ от 20.12.2023 № 1131 «Об утверждении Перечня вакантных должностей в муниципальных общеобразовательных организациях,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2024 год»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u w:val="single"/>
          <w:lang w:eastAsia="ru-RU"/>
        </w:rPr>
        <w:br/>
      </w: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shd w:val="clear" w:color="auto" w:fill="FFFFFF"/>
          <w:lang w:eastAsia="ru-RU"/>
        </w:rPr>
        <w:t>Основными критериями для отбора претендентов на конкурсной основе являются: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а)наличие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б) возраст до 55 лет включительно.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В Карачаево-Черкесской Республике региональным оператором, ответственным за регистрацию заявления и пакета документов претендентов для проведения конкурсного отбора на право получения единовременной компенсационной выплаты является Министерства образования и науки Карачаево-Черкесской Республики.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Справки по участию в программе можно получить по телефонам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8(878-2) 26-69-37, 26-69-58.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В соответствии с Постановлением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 претендент для участия в конкурсном отборе претендент подает заявку на участие в мероприятии путем заполнения регистрационной формы на портале «Земский учитель» и представления региональному оператору следующих документов: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документа, удостоверяющего личность участника (со страницей регистрации);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документа об образовании;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документа, подтверждающего уровень квалификации;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трудовой книжки, заверенной в установленном порядке;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согласие претендента на обработку персональных данных;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свидетельства о браке с предъявлением оригинала или нотариально заверенной копии свидетельства о браке (при наличии);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копия свидетельства о рождении детей с предъявлением оригинала или нотариально заверенную копию свидетельства о рождении детей (при наличии);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иные документы по усмотрению претендента.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Копии указанных документов должны быть заверены в установленном действующим законодательством Российской Федерации порядке. В соответствии со ст. 62 Трудового кодекса Российской Федерации верность копий документов, связанных с трудовой деятельностью, может быть засвидетельствована подписью руководителя или уполномоченного на то должностного лица и печатью работодателя.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 участию в мероприятии не допускаются претенденты, в заявках которых место планируемого переезда будет соответствовать муниципальному образованию или городскому округу, в котором претендент проживает и (или) работает в настоящее время, или место его планируемого переезда находится на расстоянии менее 10 км от места его настоящего проживания и (или) работы.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При подаче документов об участии в конкурсном отборе претендент указывает планируемое им направление расходования денежных средств единовременной компенсационной выплаты учителю.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Способы подачи заявки на участие в мероприятии и сроки: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а) в электронном виде региональному оператору – по электронному адресу </w:t>
      </w:r>
      <w:hyperlink r:id="rId6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operator.09.2019@mail.ru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б) на бумажном носителе в уполномоченный орган или региональному оператору.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Место приема документов – КЧР, г. Черкесск, пл. Ленина, Дом Правительства КЧР, каб. 252, телефон: 26-69-37.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В электронном виде по электронному адресу </w:t>
      </w:r>
      <w:hyperlink r:id="rId7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operator.09.2019@mail.ru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представляется копия заявления претендента на участие в конкурсе. Иные документы для участия в конкурсе, оформленные в установленном порядке, представляются лично либо по почте.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График работы регионального оператора по приему документов претендентов для участия в программе "Земский учитель": ежедневно (кроме выходных и праздничных дней), время приема документов с 9:00 до 18:00, перерыв с 13:00 до 14:00. 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Заявки учителей для участия в конкурсном отборе принимаются:</w:t>
      </w:r>
    </w:p>
    <w:p w:rsidR="00B8791E" w:rsidRPr="00B8791E" w:rsidRDefault="00B8791E" w:rsidP="00B8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в 2020 году - с 10 января по 15 апреля 2020 года включительно;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в 2022 году - с 10 января по 15 апреля 2022 года включительно;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u w:val="single"/>
          <w:lang w:eastAsia="ru-RU"/>
        </w:rPr>
        <w:t>в 2023 году - с 10 января по 15 апреля 2023 года включительно;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u w:val="single"/>
          <w:lang w:eastAsia="ru-RU"/>
        </w:rPr>
        <w:t>в 2024 году - с 10 января по 15 апреля 2024 года включительно.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Претендент может подать документы только на одну вакантную должность учителя, включенную в Перечень вакантных должностей, с учебной нагрузкой не менее 18-часовой в неделю за ставку заработной платы в соответствии с трудовым договором.</w:t>
      </w:r>
    </w:p>
    <w:p w:rsidR="00B8791E" w:rsidRPr="00B8791E" w:rsidRDefault="00B8791E" w:rsidP="00B8791E">
      <w:pPr>
        <w:shd w:val="clear" w:color="auto" w:fill="FFFFFF"/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8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Постановление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9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Постановление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Правительства Карачаево-Черкесской Республики от 10.04.2020 № 86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 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0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Постановление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Правительства Карачаево-Черкесской Республики от 23.12.2021 № 116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1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Постановление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Правительства Карачаево-Черкесской Республики от 30.03.2022 № 92 "Об утверждении Порядка предоставления дополнительной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Республике"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2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Постановление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Правительства Карачаево-Черкесской Республики от 10.08.2022 № 232 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3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Формы заявлений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для участия в программе «Земский учитель»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Ссылка на федеральный портал «Земский учитель» - (</w:t>
      </w:r>
      <w:hyperlink r:id="rId14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http://zemteacher.edu.ru/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)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5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 от 15.05.2023 № 404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«Об определении победителя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2023 году» </w:t>
      </w:r>
    </w:p>
    <w:p w:rsidR="00B8791E" w:rsidRPr="00B8791E" w:rsidRDefault="00B8791E" w:rsidP="00B8791E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6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 от 13.05.2022 № 401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«Об утверждении списка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2022 году»</w:t>
      </w:r>
    </w:p>
    <w:p w:rsidR="00B8791E" w:rsidRPr="00B8791E" w:rsidRDefault="00B8791E" w:rsidP="00B8791E">
      <w:pPr>
        <w:spacing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7" w:history="1">
        <w:r w:rsidRPr="00B8791E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B8791E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от 23.08.2022 № 775 "О внесении изменений в список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2022 году"</w:t>
      </w:r>
    </w:p>
    <w:p w:rsidR="00BB7429" w:rsidRDefault="00BB7429"/>
    <w:sectPr w:rsidR="00BB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A"/>
    <w:rsid w:val="00B8791E"/>
    <w:rsid w:val="00BB7429"/>
    <w:rsid w:val="00D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436F"/>
  <w15:chartTrackingRefBased/>
  <w15:docId w15:val="{DBB1865C-41BA-468B-901A-112EFDB7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brkchr.ru/bitrix/%D0%BF%D0%BE%D1%81%D1%82%D0%B0%D0%BD%D0%BE%D0%B2%D0%BB%D0%B5%D0%BD%D0%B8%D0%B5%20309.pdf" TargetMode="External"/><Relationship Id="rId13" Type="http://schemas.openxmlformats.org/officeDocument/2006/relationships/hyperlink" Target="https://www.minobrkchr.ru/new/%D1%84%D0%BE%D1%80%D0%BC%D1%8B%20%D0%B4%D0%BE%D0%BA%D1%83%D0%BC%D0%B5%D0%BD%D1%82%D0%BE%D0%B2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erator.09.2019@mail.ru" TargetMode="External"/><Relationship Id="rId12" Type="http://schemas.openxmlformats.org/officeDocument/2006/relationships/hyperlink" Target="https://www.minobrkchr.ru/New%20Folder/%D0%9F%20232.pdf" TargetMode="External"/><Relationship Id="rId17" Type="http://schemas.openxmlformats.org/officeDocument/2006/relationships/hyperlink" Target="https://www.minobrkchr.ru/New%20Folder/%D0%BF%D1%80%D0%B8%D0%BA%D0%B0%D0%B7%201%20%D0%BE%20%D0%B2%D0%BD%D0%B5%D1%81%D0%B5%D0%BD%D0%B8%D0%B8%20%D0%B8%D0%B7%D0%BC%D0%B5%D0%BD%D0%B5%D0%BD%D0%B8%D0%B9%20%D0%B2%20%D0%BF%D1%80%D0%B8%D0%BA%D0%B0%D0%B7%20%D0%BE%20%D0%BF%D0%BE%D0%B1%D0%B5%D0%B4%D0%B8%D1%82%D0%B5%D0%BB%D0%B5%D0%B9%2020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nobrkchr.ru/%D0%9F%D0%A0%D0%98%D0%9A%D0%90%D0%97%20401%20%D0%BE%20%D0%BF%D0%BE%D0%B1%D0%B5%D0%B4%D0%B8%D1%82%D0%B5%D0%BB%D1%8F%D1%85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operator.09.2019@mail.ru" TargetMode="External"/><Relationship Id="rId11" Type="http://schemas.openxmlformats.org/officeDocument/2006/relationships/hyperlink" Target="https://www.minobrkchr.ru/new/%D0%BF%D0%BE%D1%81%D1%82%2092.pdf" TargetMode="External"/><Relationship Id="rId5" Type="http://schemas.openxmlformats.org/officeDocument/2006/relationships/hyperlink" Target="https://www.minobrkchr.ru/bitrix/%D0%BC%D1%81/%D0%BF%D1%80%D0%B8%D0%BA%D0%B0%D0%B7%20%D0%BE%20%D0%BF%D0%B5%D1%80%D0%B5%D1%87%D0%BD%D0%B5%20%D0%B2%D0%B0%D0%BA%D0%B0%D0%BD%D1%81%D0%B8%D0%B9%20%D0%B2%202024%20%D0%B3.%20-%20%D0%B8%D0%B7%D0%BC%D0%B5%D0%BD%D0%B5%D0%BD%D0%B8%D1%8F.pdf" TargetMode="External"/><Relationship Id="rId15" Type="http://schemas.openxmlformats.org/officeDocument/2006/relationships/hyperlink" Target="https://www.minobrkchr.ru/%D0%BF%D1%80%D0%B8%D0%BA%D0%B0%D0%B7%20%D0%BE%20%D0%BF%D0%BE%D0%B1%D0%B5%D0%B4%D0%B8%D1%82%D0%B5%D0%BB%D0%B5%202023.pdf" TargetMode="External"/><Relationship Id="rId10" Type="http://schemas.openxmlformats.org/officeDocument/2006/relationships/hyperlink" Target="https://www.minobrkchr.ru/new/%D0%BF%D0%BE%D1%81%20116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obrkchr.ru/bitrix/%D0%BC%D1%81/%D0%BF%D1%80%D0%B8%D0%BA%D0%B0%D0%B7%20%D0%BE%20%D0%9F%D0%BE%D0%B1%D0%B5%D0%B4%D0%B8%D1%82%D0%B5%D0%BB%D1%8F%D1%85%20%D0%BF%D1%80%D0%BE%D0%B3%D1%80%D0%B0%D0%BC%D0%BC%D1%8B%20%D0%97%D0%B5%D0%BC%D1%81%D0%BA%D0%B8%D0%B9%20%D1%83%D1%87%D0%B8%D1%82%D0%B5%D0%BB%D1%8C%202024.pdf" TargetMode="External"/><Relationship Id="rId9" Type="http://schemas.openxmlformats.org/officeDocument/2006/relationships/hyperlink" Target="https://www.minobrkchr.ru/bitrix/%D0%BF%D0%BE%D1%81%D1%82.%20%D0%BF%D1%80%D0%B0%D0%B2.%2086.pdf" TargetMode="External"/><Relationship Id="rId14" Type="http://schemas.openxmlformats.org/officeDocument/2006/relationships/hyperlink" Target="http://zemteache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1748</Words>
  <Characters>9970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2025-01-20T07:12:00Z</dcterms:created>
  <dcterms:modified xsi:type="dcterms:W3CDTF">2025-01-20T07:14:00Z</dcterms:modified>
</cp:coreProperties>
</file>